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7A566" w14:textId="4CA6E25A" w:rsidR="002303EC" w:rsidRDefault="00077E2B" w:rsidP="005A525B">
      <w:pPr>
        <w:pStyle w:val="Heading2"/>
        <w:jc w:val="center"/>
      </w:pPr>
      <w:r w:rsidRPr="00077E2B">
        <w:t>Common experiments for Iron deficiency studies in Aksoy Lab</w:t>
      </w:r>
    </w:p>
    <w:p w14:paraId="394687FD" w14:textId="241F437B" w:rsidR="00995D08" w:rsidRPr="00995D08" w:rsidRDefault="00995D08" w:rsidP="00995D08">
      <w:pPr>
        <w:jc w:val="center"/>
      </w:pPr>
      <w:r>
        <w:t>Prepared by Utku Deniz</w:t>
      </w:r>
    </w:p>
    <w:p w14:paraId="11DB4CBC" w14:textId="4A68CBEB" w:rsidR="00077E2B" w:rsidRPr="00CA4225" w:rsidRDefault="00077E2B" w:rsidP="005A525B">
      <w:pPr>
        <w:pStyle w:val="Heading2"/>
        <w:numPr>
          <w:ilvl w:val="0"/>
          <w:numId w:val="6"/>
        </w:numPr>
      </w:pPr>
      <w:r w:rsidRPr="005A525B">
        <w:rPr>
          <w:u w:val="single"/>
        </w:rPr>
        <w:t xml:space="preserve">Total </w:t>
      </w:r>
      <w:r w:rsidR="00617663">
        <w:rPr>
          <w:u w:val="single"/>
        </w:rPr>
        <w:t>C</w:t>
      </w:r>
      <w:r w:rsidRPr="005A525B">
        <w:rPr>
          <w:u w:val="single"/>
        </w:rPr>
        <w:t xml:space="preserve">hlorophyll </w:t>
      </w:r>
      <w:r w:rsidR="00617663">
        <w:rPr>
          <w:u w:val="single"/>
        </w:rPr>
        <w:t>C</w:t>
      </w:r>
      <w:r w:rsidRPr="005A525B">
        <w:rPr>
          <w:u w:val="single"/>
        </w:rPr>
        <w:t>ontent</w:t>
      </w:r>
      <w:r w:rsidRPr="00CA4225">
        <w:t>:</w:t>
      </w:r>
    </w:p>
    <w:p w14:paraId="3EB60D13" w14:textId="175578C8" w:rsidR="00077E2B" w:rsidRDefault="00077E2B" w:rsidP="005A525B">
      <w:pPr>
        <w:pStyle w:val="ListParagraph"/>
        <w:numPr>
          <w:ilvl w:val="0"/>
          <w:numId w:val="1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Obtain the leaf sample, weigh, and record its weight.</w:t>
      </w:r>
    </w:p>
    <w:p w14:paraId="5E7D931A" w14:textId="77777777" w:rsidR="00077E2B" w:rsidRDefault="00077E2B" w:rsidP="005A525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For small samples:</w:t>
      </w:r>
    </w:p>
    <w:p w14:paraId="3DFD6F57" w14:textId="7227BF2C" w:rsidR="00077E2B" w:rsidRDefault="00077E2B" w:rsidP="005A525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77E2B">
        <w:rPr>
          <w:sz w:val="24"/>
          <w:szCs w:val="24"/>
        </w:rPr>
        <w:t>Put in an Eppendorf tube</w:t>
      </w:r>
      <w:r>
        <w:rPr>
          <w:sz w:val="24"/>
          <w:szCs w:val="24"/>
        </w:rPr>
        <w:t>.</w:t>
      </w:r>
    </w:p>
    <w:p w14:paraId="79DDE9CD" w14:textId="6C0757D0" w:rsidR="00077E2B" w:rsidRDefault="00077E2B" w:rsidP="005A525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Add </w:t>
      </w:r>
      <w:r w:rsidR="004E4FB9">
        <w:rPr>
          <w:sz w:val="24"/>
          <w:szCs w:val="24"/>
        </w:rPr>
        <w:t xml:space="preserve">1ml </w:t>
      </w:r>
      <w:r>
        <w:rPr>
          <w:sz w:val="24"/>
          <w:szCs w:val="24"/>
        </w:rPr>
        <w:t>80% acetone and homogenize the sample</w:t>
      </w:r>
      <w:r w:rsidR="000A635D">
        <w:rPr>
          <w:sz w:val="24"/>
          <w:szCs w:val="24"/>
        </w:rPr>
        <w:t xml:space="preserve"> with crushing sticks.</w:t>
      </w:r>
    </w:p>
    <w:p w14:paraId="616F42A4" w14:textId="0D6EA175" w:rsidR="00077E2B" w:rsidRDefault="00077E2B" w:rsidP="005A525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For large samples:</w:t>
      </w:r>
    </w:p>
    <w:p w14:paraId="6834C976" w14:textId="36A990AE" w:rsidR="00077E2B" w:rsidRDefault="00077E2B" w:rsidP="005A525B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Put in a mortar.</w:t>
      </w:r>
    </w:p>
    <w:p w14:paraId="2220351C" w14:textId="5B00DFFD" w:rsidR="00077E2B" w:rsidRDefault="00077E2B" w:rsidP="005A525B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Add </w:t>
      </w:r>
      <w:r w:rsidR="004E4FB9">
        <w:rPr>
          <w:sz w:val="24"/>
          <w:szCs w:val="24"/>
        </w:rPr>
        <w:t xml:space="preserve">~10ml (depends on sample size) </w:t>
      </w:r>
      <w:r w:rsidR="00DD3346">
        <w:rPr>
          <w:sz w:val="24"/>
          <w:szCs w:val="24"/>
        </w:rPr>
        <w:t xml:space="preserve">of </w:t>
      </w:r>
      <w:r>
        <w:rPr>
          <w:sz w:val="24"/>
          <w:szCs w:val="24"/>
        </w:rPr>
        <w:t>80% acetone</w:t>
      </w:r>
      <w:r w:rsidR="000A635D">
        <w:rPr>
          <w:sz w:val="24"/>
          <w:szCs w:val="24"/>
        </w:rPr>
        <w:t xml:space="preserve"> and homogenize the sample with a pestle.</w:t>
      </w:r>
    </w:p>
    <w:p w14:paraId="60F3C1A3" w14:textId="7E5A4B5E" w:rsidR="000A635D" w:rsidRDefault="000A635D" w:rsidP="005A525B">
      <w:pPr>
        <w:pStyle w:val="ListParagraph"/>
        <w:numPr>
          <w:ilvl w:val="0"/>
          <w:numId w:val="5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Store </w:t>
      </w:r>
      <w:r w:rsidR="00DD3346">
        <w:rPr>
          <w:sz w:val="24"/>
          <w:szCs w:val="24"/>
        </w:rPr>
        <w:t>at</w:t>
      </w:r>
      <w:r>
        <w:rPr>
          <w:sz w:val="24"/>
          <w:szCs w:val="24"/>
        </w:rPr>
        <w:t xml:space="preserve"> 4</w:t>
      </w:r>
      <w:r>
        <w:rPr>
          <w:rFonts w:cstheme="minorHAnsi"/>
          <w:sz w:val="24"/>
          <w:szCs w:val="24"/>
        </w:rPr>
        <w:t>°</w:t>
      </w:r>
      <w:r>
        <w:rPr>
          <w:sz w:val="24"/>
          <w:szCs w:val="24"/>
        </w:rPr>
        <w:t>C overnight.</w:t>
      </w:r>
    </w:p>
    <w:p w14:paraId="657DB1F3" w14:textId="224D47D7" w:rsidR="000A635D" w:rsidRDefault="000A635D" w:rsidP="005A525B">
      <w:pPr>
        <w:pStyle w:val="ListParagraph"/>
        <w:numPr>
          <w:ilvl w:val="0"/>
          <w:numId w:val="5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Centrifuge at 15000rpm and 4</w:t>
      </w:r>
      <w:r>
        <w:rPr>
          <w:rFonts w:cstheme="minorHAnsi"/>
          <w:sz w:val="24"/>
          <w:szCs w:val="24"/>
        </w:rPr>
        <w:t>°</w:t>
      </w:r>
      <w:r>
        <w:rPr>
          <w:sz w:val="24"/>
          <w:szCs w:val="24"/>
        </w:rPr>
        <w:t>C for 5 minutes.</w:t>
      </w:r>
    </w:p>
    <w:p w14:paraId="6B500085" w14:textId="690A52A7" w:rsidR="000A635D" w:rsidRDefault="000A635D" w:rsidP="005A525B">
      <w:pPr>
        <w:pStyle w:val="ListParagraph"/>
        <w:numPr>
          <w:ilvl w:val="0"/>
          <w:numId w:val="5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Take the absorbance values at 470 nm (for carotenoids), 646.8nm (chlorophyll b), </w:t>
      </w:r>
      <w:r w:rsidR="00DD3346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663.2nm (chlorophyll a) against </w:t>
      </w:r>
      <w:r w:rsidR="004E4FB9">
        <w:rPr>
          <w:sz w:val="24"/>
          <w:szCs w:val="24"/>
        </w:rPr>
        <w:t>80%</w:t>
      </w:r>
      <w:r w:rsidR="00747DA0">
        <w:rPr>
          <w:sz w:val="24"/>
          <w:szCs w:val="24"/>
        </w:rPr>
        <w:t xml:space="preserve"> </w:t>
      </w:r>
      <w:r w:rsidR="004E4FB9">
        <w:rPr>
          <w:sz w:val="24"/>
          <w:szCs w:val="24"/>
        </w:rPr>
        <w:t>acetone as a blank.</w:t>
      </w:r>
    </w:p>
    <w:p w14:paraId="4D54C556" w14:textId="4C11B419" w:rsidR="004E4FB9" w:rsidRDefault="004E4FB9" w:rsidP="005A525B">
      <w:pPr>
        <w:pStyle w:val="ListParagraph"/>
        <w:numPr>
          <w:ilvl w:val="0"/>
          <w:numId w:val="5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Use the formula below to calculate chlorophyll a, chlorophyll b or </w:t>
      </w:r>
      <w:r w:rsidR="00DD3346">
        <w:rPr>
          <w:sz w:val="24"/>
          <w:szCs w:val="24"/>
        </w:rPr>
        <w:t xml:space="preserve">the </w:t>
      </w:r>
      <w:r>
        <w:rPr>
          <w:sz w:val="24"/>
          <w:szCs w:val="24"/>
        </w:rPr>
        <w:t>total chlorophyll amount.</w:t>
      </w:r>
    </w:p>
    <w:p w14:paraId="044CA3E2" w14:textId="0B37BD91" w:rsidR="004E4FB9" w:rsidRDefault="004E4FB9" w:rsidP="005A525B">
      <w:pPr>
        <w:pStyle w:val="ListParagraph"/>
        <w:ind w:left="360"/>
        <w:jc w:val="both"/>
        <w:rPr>
          <w:sz w:val="24"/>
          <w:szCs w:val="24"/>
        </w:rPr>
      </w:pPr>
    </w:p>
    <w:p w14:paraId="74701A72" w14:textId="4A3065FB" w:rsidR="004E4FB9" w:rsidRDefault="004E4FB9" w:rsidP="005A525B">
      <w:pPr>
        <w:pStyle w:val="ListParagraph"/>
        <w:ind w:left="360"/>
        <w:jc w:val="both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Total chl content (mg/g leaf FW)=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663.2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× 7.15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+(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646.8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 ×18.71)) × V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1000 × FW</m:t>
            </m:r>
          </m:den>
        </m:f>
      </m:oMath>
      <w:r>
        <w:rPr>
          <w:rFonts w:eastAsiaTheme="minorEastAsia"/>
          <w:sz w:val="24"/>
          <w:szCs w:val="24"/>
        </w:rPr>
        <w:t xml:space="preserve"> </w:t>
      </w:r>
    </w:p>
    <w:p w14:paraId="34DD46DC" w14:textId="77777777" w:rsidR="00803FA7" w:rsidRDefault="00803FA7" w:rsidP="005A525B">
      <w:pPr>
        <w:pStyle w:val="ListParagraph"/>
        <w:ind w:left="360"/>
        <w:jc w:val="both"/>
      </w:pPr>
    </w:p>
    <w:p w14:paraId="27174CC4" w14:textId="3428DFFE" w:rsidR="004E4FB9" w:rsidRPr="00803FA7" w:rsidRDefault="004E4FB9" w:rsidP="005A525B">
      <w:pPr>
        <w:pStyle w:val="ListParagraph"/>
        <w:ind w:left="360"/>
        <w:jc w:val="both"/>
      </w:pPr>
      <w:r w:rsidRPr="00803FA7">
        <w:t>A</w:t>
      </w:r>
      <w:r w:rsidRPr="00803FA7">
        <w:rPr>
          <w:vertAlign w:val="subscript"/>
        </w:rPr>
        <w:t>663.2</w:t>
      </w:r>
      <w:r w:rsidR="00803FA7" w:rsidRPr="00803FA7">
        <w:t>:</w:t>
      </w:r>
      <w:r w:rsidRPr="00803FA7">
        <w:t xml:space="preserve"> </w:t>
      </w:r>
      <w:r w:rsidR="00D5673C">
        <w:t>A</w:t>
      </w:r>
      <w:r w:rsidRPr="00803FA7">
        <w:t>bsorbance value at 663.2nm</w:t>
      </w:r>
    </w:p>
    <w:p w14:paraId="21BB7875" w14:textId="385CED08" w:rsidR="004E4FB9" w:rsidRPr="00803FA7" w:rsidRDefault="004E4FB9" w:rsidP="005A525B">
      <w:pPr>
        <w:pStyle w:val="ListParagraph"/>
        <w:ind w:left="360"/>
        <w:jc w:val="both"/>
      </w:pPr>
      <w:r w:rsidRPr="00803FA7">
        <w:t>A</w:t>
      </w:r>
      <w:r w:rsidRPr="00803FA7">
        <w:rPr>
          <w:vertAlign w:val="subscript"/>
        </w:rPr>
        <w:t>646.8</w:t>
      </w:r>
      <w:r w:rsidR="00803FA7" w:rsidRPr="00803FA7">
        <w:t>:</w:t>
      </w:r>
      <w:r w:rsidRPr="00803FA7">
        <w:t xml:space="preserve"> </w:t>
      </w:r>
      <w:r w:rsidR="00D5673C">
        <w:t>A</w:t>
      </w:r>
      <w:r w:rsidRPr="00803FA7">
        <w:t>bsorbance value at 646.8nm</w:t>
      </w:r>
    </w:p>
    <w:p w14:paraId="628D21E3" w14:textId="25E4B115" w:rsidR="004E4FB9" w:rsidRPr="00803FA7" w:rsidRDefault="004E4FB9" w:rsidP="005A525B">
      <w:pPr>
        <w:pStyle w:val="ListParagraph"/>
        <w:ind w:left="360"/>
        <w:jc w:val="both"/>
      </w:pPr>
      <w:r w:rsidRPr="00803FA7">
        <w:t>V</w:t>
      </w:r>
      <w:r w:rsidR="00803FA7" w:rsidRPr="00803FA7">
        <w:t>:</w:t>
      </w:r>
      <w:r w:rsidRPr="00803FA7">
        <w:t xml:space="preserve"> Volume that is used to crush leaf sample in step 3</w:t>
      </w:r>
      <w:r w:rsidR="00803FA7">
        <w:t>, in ml unit</w:t>
      </w:r>
    </w:p>
    <w:p w14:paraId="2047BACE" w14:textId="367E58EA" w:rsidR="004E4FB9" w:rsidRPr="00803FA7" w:rsidRDefault="004E4FB9" w:rsidP="005A525B">
      <w:pPr>
        <w:pStyle w:val="ListParagraph"/>
        <w:ind w:left="360"/>
        <w:jc w:val="both"/>
      </w:pPr>
      <w:r w:rsidRPr="00803FA7">
        <w:t>FW: Leaf fresh weight that is obtained in step 1</w:t>
      </w:r>
      <w:r w:rsidR="00803FA7">
        <w:t>, in gram unit</w:t>
      </w:r>
      <w:r w:rsidRPr="00803FA7">
        <w:t>.</w:t>
      </w:r>
    </w:p>
    <w:p w14:paraId="144B2447" w14:textId="27F42324" w:rsidR="004E4FB9" w:rsidRDefault="004E4FB9" w:rsidP="00CA4225">
      <w:pPr>
        <w:pStyle w:val="ListParagraph"/>
        <w:jc w:val="both"/>
        <w:rPr>
          <w:sz w:val="24"/>
          <w:szCs w:val="24"/>
        </w:rPr>
      </w:pPr>
    </w:p>
    <w:p w14:paraId="5BF4DEEA" w14:textId="2C0062B7" w:rsidR="00803FA7" w:rsidRDefault="00803FA7" w:rsidP="00CA4225">
      <w:pPr>
        <w:jc w:val="both"/>
        <w:rPr>
          <w:sz w:val="24"/>
          <w:szCs w:val="24"/>
        </w:rPr>
      </w:pPr>
      <w:r w:rsidRPr="00CA4225">
        <w:rPr>
          <w:b/>
          <w:bCs/>
          <w:sz w:val="24"/>
          <w:szCs w:val="24"/>
          <w:u w:val="single"/>
        </w:rPr>
        <w:t>Note:</w:t>
      </w:r>
      <w:r>
        <w:rPr>
          <w:sz w:val="24"/>
          <w:szCs w:val="24"/>
        </w:rPr>
        <w:t xml:space="preserve"> For separate chlorophyll contents, discard the unwanted ones from the equation, </w:t>
      </w:r>
      <w:proofErr w:type="spellStart"/>
      <w:r>
        <w:rPr>
          <w:sz w:val="24"/>
          <w:szCs w:val="24"/>
        </w:rPr>
        <w:t>eg.</w:t>
      </w:r>
      <w:proofErr w:type="spellEnd"/>
      <w:r>
        <w:rPr>
          <w:sz w:val="24"/>
          <w:szCs w:val="24"/>
        </w:rPr>
        <w:t xml:space="preserve"> For</w:t>
      </w:r>
      <w:r w:rsidR="00DD3346"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chl</w:t>
      </w:r>
      <w:proofErr w:type="spellEnd"/>
      <w:r>
        <w:rPr>
          <w:sz w:val="24"/>
          <w:szCs w:val="24"/>
        </w:rPr>
        <w:t xml:space="preserve"> a content, discard the “(A</w:t>
      </w:r>
      <w:r>
        <w:rPr>
          <w:sz w:val="24"/>
          <w:szCs w:val="24"/>
          <w:vertAlign w:val="subscript"/>
        </w:rPr>
        <w:t>646,8</w:t>
      </w:r>
      <w:r>
        <w:rPr>
          <w:sz w:val="24"/>
          <w:szCs w:val="24"/>
        </w:rPr>
        <w:t xml:space="preserve"> x 18,71)” part from the equation.</w:t>
      </w:r>
    </w:p>
    <w:p w14:paraId="16D288AB" w14:textId="199820F2" w:rsidR="00803FA7" w:rsidRDefault="00803FA7" w:rsidP="00CA4225">
      <w:pPr>
        <w:jc w:val="both"/>
        <w:rPr>
          <w:rFonts w:eastAsiaTheme="minorEastAsia"/>
          <w:sz w:val="24"/>
          <w:szCs w:val="24"/>
        </w:rPr>
      </w:pPr>
      <w:r w:rsidRPr="00CA4225">
        <w:rPr>
          <w:b/>
          <w:bCs/>
          <w:sz w:val="24"/>
          <w:szCs w:val="24"/>
          <w:u w:val="single"/>
        </w:rPr>
        <w:t>Note:</w:t>
      </w:r>
      <w:r w:rsidRPr="00CA4225">
        <w:rPr>
          <w:sz w:val="24"/>
          <w:szCs w:val="24"/>
        </w:rPr>
        <w:t xml:space="preserve"> </w:t>
      </w:r>
      <w:r w:rsidR="00CA4225">
        <w:rPr>
          <w:sz w:val="24"/>
          <w:szCs w:val="24"/>
        </w:rPr>
        <w:t xml:space="preserve">The unit of the calculation of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663.2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 × 7.15</m:t>
            </m:r>
          </m:e>
        </m:d>
        <m:r>
          <w:rPr>
            <w:rFonts w:ascii="Cambria Math" w:hAnsi="Cambria Math"/>
            <w:sz w:val="24"/>
            <w:szCs w:val="24"/>
          </w:rPr>
          <m:t>+(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646.8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×18.71))</m:t>
        </m:r>
      </m:oMath>
      <w:r w:rsidR="00CA4225">
        <w:rPr>
          <w:rFonts w:eastAsiaTheme="minorEastAsia"/>
          <w:sz w:val="24"/>
          <w:szCs w:val="24"/>
        </w:rPr>
        <w:t xml:space="preserve"> is </w:t>
      </w:r>
      <w:r w:rsidR="00CA4225">
        <w:rPr>
          <w:rFonts w:eastAsiaTheme="minorEastAsia" w:cstheme="minorHAnsi"/>
          <w:sz w:val="24"/>
          <w:szCs w:val="24"/>
        </w:rPr>
        <w:t>µ</w:t>
      </w:r>
      <w:r w:rsidR="00CA4225">
        <w:rPr>
          <w:rFonts w:eastAsiaTheme="minorEastAsia"/>
          <w:sz w:val="24"/>
          <w:szCs w:val="24"/>
        </w:rPr>
        <w:t>g/ml. When multipl</w:t>
      </w:r>
      <w:r w:rsidR="00DD3346">
        <w:rPr>
          <w:rFonts w:eastAsiaTheme="minorEastAsia"/>
          <w:sz w:val="24"/>
          <w:szCs w:val="24"/>
        </w:rPr>
        <w:t>ied</w:t>
      </w:r>
      <w:r w:rsidR="00CA4225">
        <w:rPr>
          <w:rFonts w:eastAsiaTheme="minorEastAsia"/>
          <w:sz w:val="24"/>
          <w:szCs w:val="24"/>
        </w:rPr>
        <w:t xml:space="preserve"> by “V”, it becomes </w:t>
      </w:r>
      <w:r w:rsidR="00CA4225">
        <w:rPr>
          <w:rFonts w:eastAsiaTheme="minorEastAsia" w:cstheme="minorHAnsi"/>
          <w:sz w:val="24"/>
          <w:szCs w:val="24"/>
        </w:rPr>
        <w:t>µ</w:t>
      </w:r>
      <w:r w:rsidR="00CA4225">
        <w:rPr>
          <w:rFonts w:eastAsiaTheme="minorEastAsia"/>
          <w:sz w:val="24"/>
          <w:szCs w:val="24"/>
        </w:rPr>
        <w:t>g. When divide</w:t>
      </w:r>
      <w:r w:rsidR="00DD3346">
        <w:rPr>
          <w:rFonts w:eastAsiaTheme="minorEastAsia"/>
          <w:sz w:val="24"/>
          <w:szCs w:val="24"/>
        </w:rPr>
        <w:t>d</w:t>
      </w:r>
      <w:r w:rsidR="00CA4225">
        <w:rPr>
          <w:rFonts w:eastAsiaTheme="minorEastAsia"/>
          <w:sz w:val="24"/>
          <w:szCs w:val="24"/>
        </w:rPr>
        <w:t xml:space="preserve"> by 1000, it becomes mg. When divide</w:t>
      </w:r>
      <w:r w:rsidR="00DD3346">
        <w:rPr>
          <w:rFonts w:eastAsiaTheme="minorEastAsia"/>
          <w:sz w:val="24"/>
          <w:szCs w:val="24"/>
        </w:rPr>
        <w:t>d</w:t>
      </w:r>
      <w:r w:rsidR="00CA4225">
        <w:rPr>
          <w:rFonts w:eastAsiaTheme="minorEastAsia"/>
          <w:sz w:val="24"/>
          <w:szCs w:val="24"/>
        </w:rPr>
        <w:t xml:space="preserve"> by “FW”, it becomes mg/g leaf FW.</w:t>
      </w:r>
    </w:p>
    <w:p w14:paraId="6243E46B" w14:textId="41E72618" w:rsidR="00CA4225" w:rsidRDefault="00CA4225" w:rsidP="00CA4225">
      <w:pPr>
        <w:jc w:val="both"/>
        <w:rPr>
          <w:rFonts w:eastAsiaTheme="minorEastAsia"/>
          <w:sz w:val="24"/>
          <w:szCs w:val="24"/>
        </w:rPr>
      </w:pPr>
      <w:r w:rsidRPr="00CA4225">
        <w:rPr>
          <w:rFonts w:eastAsiaTheme="minorEastAsia"/>
          <w:b/>
          <w:bCs/>
          <w:sz w:val="24"/>
          <w:szCs w:val="24"/>
          <w:u w:val="single"/>
        </w:rPr>
        <w:t>Note:</w:t>
      </w:r>
      <w:r>
        <w:rPr>
          <w:rFonts w:eastAsiaTheme="minorEastAsia"/>
          <w:sz w:val="24"/>
          <w:szCs w:val="24"/>
        </w:rPr>
        <w:t xml:space="preserve"> Wait around 20-30 minutes before using the spectrophotometer for the lamps to warm up.</w:t>
      </w:r>
    </w:p>
    <w:p w14:paraId="5BAD3BD6" w14:textId="5CC19E97" w:rsidR="005A525B" w:rsidRDefault="009554EC" w:rsidP="009554EC">
      <w:pPr>
        <w:pStyle w:val="Heading2"/>
        <w:numPr>
          <w:ilvl w:val="0"/>
          <w:numId w:val="6"/>
        </w:numPr>
        <w:rPr>
          <w:rFonts w:eastAsiaTheme="minorEastAsia"/>
          <w:u w:val="single"/>
        </w:rPr>
      </w:pPr>
      <w:r w:rsidRPr="009554EC">
        <w:rPr>
          <w:rFonts w:eastAsiaTheme="minorEastAsia"/>
          <w:u w:val="single"/>
        </w:rPr>
        <w:t xml:space="preserve">FRO/FCR </w:t>
      </w:r>
      <w:r w:rsidR="00617663">
        <w:rPr>
          <w:rFonts w:eastAsiaTheme="minorEastAsia"/>
          <w:u w:val="single"/>
        </w:rPr>
        <w:t>A</w:t>
      </w:r>
      <w:r w:rsidRPr="009554EC">
        <w:rPr>
          <w:rFonts w:eastAsiaTheme="minorEastAsia"/>
          <w:u w:val="single"/>
        </w:rPr>
        <w:t xml:space="preserve">ctivity </w:t>
      </w:r>
      <w:r w:rsidR="00617663">
        <w:rPr>
          <w:rFonts w:eastAsiaTheme="minorEastAsia"/>
          <w:u w:val="single"/>
        </w:rPr>
        <w:t>L</w:t>
      </w:r>
      <w:r w:rsidRPr="009554EC">
        <w:rPr>
          <w:rFonts w:eastAsiaTheme="minorEastAsia"/>
          <w:u w:val="single"/>
        </w:rPr>
        <w:t>evel:</w:t>
      </w:r>
    </w:p>
    <w:p w14:paraId="02450677" w14:textId="2102A6A2" w:rsidR="00D74C1A" w:rsidRPr="00232B99" w:rsidRDefault="00D74C1A" w:rsidP="00617663">
      <w:pPr>
        <w:jc w:val="both"/>
        <w:rPr>
          <w:sz w:val="24"/>
          <w:szCs w:val="24"/>
        </w:rPr>
      </w:pPr>
      <w:r w:rsidRPr="00232B99">
        <w:rPr>
          <w:sz w:val="24"/>
          <w:szCs w:val="24"/>
        </w:rPr>
        <w:t>Check the protocol by Emre Aksoy, DOI:</w:t>
      </w:r>
      <w:hyperlink r:id="rId5" w:tgtFrame="_blank" w:history="1">
        <w:r w:rsidRPr="00232B99">
          <w:rPr>
            <w:rStyle w:val="Hyperlink"/>
            <w:sz w:val="24"/>
            <w:szCs w:val="24"/>
          </w:rPr>
          <w:t>10.21769/BioProtoc.843</w:t>
        </w:r>
      </w:hyperlink>
      <w:r w:rsidRPr="00232B99">
        <w:rPr>
          <w:sz w:val="24"/>
          <w:szCs w:val="24"/>
        </w:rPr>
        <w:t>.</w:t>
      </w:r>
    </w:p>
    <w:p w14:paraId="7DBF5895" w14:textId="4A621A20" w:rsidR="00D74C1A" w:rsidRPr="00232B99" w:rsidRDefault="00D74C1A" w:rsidP="00617663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232B99">
        <w:rPr>
          <w:sz w:val="24"/>
          <w:szCs w:val="24"/>
        </w:rPr>
        <w:t>Prepare assay</w:t>
      </w:r>
      <w:r w:rsidR="00747DA0" w:rsidRPr="00232B99">
        <w:rPr>
          <w:sz w:val="24"/>
          <w:szCs w:val="24"/>
        </w:rPr>
        <w:t xml:space="preserve"> solution</w:t>
      </w:r>
      <w:r w:rsidRPr="00232B99">
        <w:rPr>
          <w:sz w:val="24"/>
          <w:szCs w:val="24"/>
        </w:rPr>
        <w:t xml:space="preserve">, </w:t>
      </w:r>
      <w:r w:rsidR="00747DA0" w:rsidRPr="00232B99">
        <w:rPr>
          <w:sz w:val="24"/>
          <w:szCs w:val="24"/>
        </w:rPr>
        <w:t>0.</w:t>
      </w:r>
      <w:r w:rsidRPr="00232B99">
        <w:rPr>
          <w:sz w:val="24"/>
          <w:szCs w:val="24"/>
        </w:rPr>
        <w:t>1mM Fe</w:t>
      </w:r>
      <w:r w:rsidR="00747DA0" w:rsidRPr="00232B99">
        <w:rPr>
          <w:sz w:val="24"/>
          <w:szCs w:val="24"/>
        </w:rPr>
        <w:t>(III)</w:t>
      </w:r>
      <w:r w:rsidRPr="00232B99">
        <w:rPr>
          <w:sz w:val="24"/>
          <w:szCs w:val="24"/>
        </w:rPr>
        <w:t xml:space="preserve">-EDTA and </w:t>
      </w:r>
      <w:r w:rsidR="00747DA0" w:rsidRPr="00232B99">
        <w:rPr>
          <w:sz w:val="24"/>
          <w:szCs w:val="24"/>
        </w:rPr>
        <w:t>0.</w:t>
      </w:r>
      <w:r w:rsidRPr="00232B99">
        <w:rPr>
          <w:sz w:val="24"/>
          <w:szCs w:val="24"/>
        </w:rPr>
        <w:t>3</w:t>
      </w:r>
      <w:r w:rsidR="00747DA0" w:rsidRPr="00232B99">
        <w:rPr>
          <w:sz w:val="24"/>
          <w:szCs w:val="24"/>
        </w:rPr>
        <w:t>m</w:t>
      </w:r>
      <w:r w:rsidRPr="00232B99">
        <w:rPr>
          <w:sz w:val="24"/>
          <w:szCs w:val="24"/>
        </w:rPr>
        <w:t>M Ferrozine</w:t>
      </w:r>
      <w:r w:rsidR="00747DA0" w:rsidRPr="00232B99">
        <w:rPr>
          <w:sz w:val="24"/>
          <w:szCs w:val="24"/>
        </w:rPr>
        <w:t xml:space="preserve"> in distilled water. Prepare fresh and keep at dark, it is light-sensitive.</w:t>
      </w:r>
    </w:p>
    <w:p w14:paraId="27F2FA17" w14:textId="76F5DC04" w:rsidR="00747DA0" w:rsidRPr="00232B99" w:rsidRDefault="00747DA0" w:rsidP="00617663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232B99">
        <w:rPr>
          <w:sz w:val="24"/>
          <w:szCs w:val="24"/>
        </w:rPr>
        <w:t>Gently obtain the root sample, weigh, and record its weight.</w:t>
      </w:r>
    </w:p>
    <w:p w14:paraId="15AD95EB" w14:textId="1F5C379C" w:rsidR="00747DA0" w:rsidRPr="00232B99" w:rsidRDefault="00747DA0" w:rsidP="00617663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232B99">
        <w:rPr>
          <w:sz w:val="24"/>
          <w:szCs w:val="24"/>
        </w:rPr>
        <w:t>Put the root samples in an Eppendorf tube and add 0.8ml assay solution.</w:t>
      </w:r>
    </w:p>
    <w:p w14:paraId="432FD55B" w14:textId="2FCE288D" w:rsidR="00747DA0" w:rsidRPr="00232B99" w:rsidRDefault="00747DA0" w:rsidP="00617663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232B99">
        <w:rPr>
          <w:sz w:val="24"/>
          <w:szCs w:val="24"/>
        </w:rPr>
        <w:t>Incubate for around 24 hours in dark at room temperature.</w:t>
      </w:r>
    </w:p>
    <w:p w14:paraId="12F66AA3" w14:textId="7C34A6BF" w:rsidR="00747DA0" w:rsidRPr="00232B99" w:rsidRDefault="00747DA0" w:rsidP="00617663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232B99">
        <w:rPr>
          <w:sz w:val="24"/>
          <w:szCs w:val="24"/>
        </w:rPr>
        <w:lastRenderedPageBreak/>
        <w:t xml:space="preserve">Take the absorbance values at 562nm against </w:t>
      </w:r>
      <w:r w:rsidR="00DD3346">
        <w:rPr>
          <w:sz w:val="24"/>
          <w:szCs w:val="24"/>
        </w:rPr>
        <w:t xml:space="preserve">the </w:t>
      </w:r>
      <w:r w:rsidRPr="00232B99">
        <w:rPr>
          <w:sz w:val="24"/>
          <w:szCs w:val="24"/>
        </w:rPr>
        <w:t>assay solution as a blank.</w:t>
      </w:r>
    </w:p>
    <w:p w14:paraId="1B4212A1" w14:textId="018D6898" w:rsidR="00747DA0" w:rsidRPr="00232B99" w:rsidRDefault="00747DA0" w:rsidP="00D74C1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32B99">
        <w:rPr>
          <w:sz w:val="24"/>
          <w:szCs w:val="24"/>
        </w:rPr>
        <w:t xml:space="preserve">Use the </w:t>
      </w:r>
      <w:r w:rsidR="009D6D6D" w:rsidRPr="00232B99">
        <w:rPr>
          <w:sz w:val="24"/>
          <w:szCs w:val="24"/>
        </w:rPr>
        <w:t>formula below to calculate FRO activity.</w:t>
      </w:r>
    </w:p>
    <w:p w14:paraId="6B2B75A0" w14:textId="06A31915" w:rsidR="009D6D6D" w:rsidRPr="00232B99" w:rsidRDefault="00232B99" w:rsidP="009D6D6D">
      <w:pPr>
        <w:spacing w:line="36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  <w:shd w:val="clear" w:color="auto" w:fill="FFFFFF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FRO activity level as µM Fe(II)/g root FW/hr</m:t>
          </m:r>
          <m:r>
            <m:rPr>
              <m:sty m:val="p"/>
            </m:rPr>
            <w:rPr>
              <w:rFonts w:asci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Cs/>
                  <w:sz w:val="24"/>
                  <w:szCs w:val="24"/>
                  <w:shd w:val="clear" w:color="auto" w:fill="FFFFFF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  <w:shd w:val="clear" w:color="auto" w:fill="FFFFFF"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4"/>
                          <w:szCs w:val="24"/>
                          <w:shd w:val="clear" w:color="auto" w:fill="FFFFFF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4"/>
                              <w:szCs w:val="24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shd w:val="clear" w:color="auto" w:fill="FFFFFF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shd w:val="clear" w:color="auto" w:fill="FFFFFF"/>
                            </w:rPr>
                            <m:t>562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shd w:val="clear" w:color="auto" w:fill="FFFFFF"/>
                        </w:rPr>
                        <m:t>28.6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shd w:val="clear" w:color="auto" w:fill="FFFFFF"/>
                </w:rPr>
                <m:t>×V×1000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shd w:val="clear" w:color="auto" w:fill="FFFFFF"/>
                </w:rPr>
                <m:t>FW×T</m:t>
              </m:r>
            </m:den>
          </m:f>
        </m:oMath>
      </m:oMathPara>
    </w:p>
    <w:p w14:paraId="644500E1" w14:textId="5946436C" w:rsidR="009D6D6D" w:rsidRPr="00232B99" w:rsidRDefault="009D6D6D" w:rsidP="00232B99">
      <w:pPr>
        <w:spacing w:after="0"/>
      </w:pPr>
      <w:r w:rsidRPr="00232B99">
        <w:t>A</w:t>
      </w:r>
      <w:r w:rsidRPr="00232B99">
        <w:rPr>
          <w:vertAlign w:val="subscript"/>
        </w:rPr>
        <w:t>562</w:t>
      </w:r>
      <w:r w:rsidRPr="00232B99">
        <w:t xml:space="preserve">: </w:t>
      </w:r>
      <w:r w:rsidR="00D5673C">
        <w:t>A</w:t>
      </w:r>
      <w:r w:rsidRPr="00232B99">
        <w:t>bsorbance value at 562nm</w:t>
      </w:r>
    </w:p>
    <w:p w14:paraId="1F172C65" w14:textId="48237EFC" w:rsidR="009D6D6D" w:rsidRPr="00232B99" w:rsidRDefault="009D6D6D" w:rsidP="00232B99">
      <w:pPr>
        <w:spacing w:after="0"/>
      </w:pPr>
      <w:r w:rsidRPr="00232B99">
        <w:t xml:space="preserve">V: </w:t>
      </w:r>
      <w:r w:rsidR="00D5673C">
        <w:t>T</w:t>
      </w:r>
      <w:r w:rsidRPr="00232B99">
        <w:t>he assay solution volume that is root samples incubated in, in ml unit</w:t>
      </w:r>
      <w:r w:rsidR="00232B99" w:rsidRPr="00232B99">
        <w:t>.</w:t>
      </w:r>
    </w:p>
    <w:p w14:paraId="3D5B77C0" w14:textId="7DCC3C83" w:rsidR="00232B99" w:rsidRPr="00232B99" w:rsidRDefault="00232B99" w:rsidP="00232B99">
      <w:pPr>
        <w:spacing w:after="0"/>
      </w:pPr>
      <w:r w:rsidRPr="00232B99">
        <w:t>FW: Root fresh weight that is obtained in step 2, in gram unit.</w:t>
      </w:r>
    </w:p>
    <w:p w14:paraId="1F3A6C98" w14:textId="5C43AB9F" w:rsidR="00232B99" w:rsidRPr="00232B99" w:rsidRDefault="00232B99" w:rsidP="00617663">
      <w:pPr>
        <w:spacing w:after="0" w:line="360" w:lineRule="auto"/>
        <w:jc w:val="both"/>
      </w:pPr>
      <w:r w:rsidRPr="00232B99">
        <w:t>T: The incubation time in step 4, in hours unit.</w:t>
      </w:r>
    </w:p>
    <w:p w14:paraId="56C5CCD3" w14:textId="64E30A0C" w:rsidR="00232B99" w:rsidRDefault="00232B99" w:rsidP="00617663">
      <w:pPr>
        <w:spacing w:after="0" w:line="240" w:lineRule="auto"/>
        <w:jc w:val="both"/>
        <w:rPr>
          <w:rFonts w:eastAsiaTheme="minorEastAsia"/>
          <w:sz w:val="24"/>
          <w:szCs w:val="24"/>
        </w:rPr>
      </w:pPr>
      <w:r w:rsidRPr="00232B99">
        <w:rPr>
          <w:rFonts w:eastAsiaTheme="minorEastAsia"/>
          <w:b/>
          <w:bCs/>
          <w:sz w:val="24"/>
          <w:szCs w:val="24"/>
          <w:u w:val="single"/>
        </w:rPr>
        <w:t>Note:</w:t>
      </w:r>
      <w:r w:rsidRPr="00232B99">
        <w:rPr>
          <w:rFonts w:eastAsiaTheme="minorEastAsia"/>
          <w:sz w:val="24"/>
          <w:szCs w:val="24"/>
        </w:rPr>
        <w:t xml:space="preserve"> Ferrozine and Fe (III) </w:t>
      </w:r>
      <w:r w:rsidR="00DD3346">
        <w:rPr>
          <w:rFonts w:eastAsiaTheme="minorEastAsia"/>
          <w:sz w:val="24"/>
          <w:szCs w:val="24"/>
        </w:rPr>
        <w:t>are</w:t>
      </w:r>
      <w:r w:rsidRPr="00232B99">
        <w:rPr>
          <w:rFonts w:eastAsiaTheme="minorEastAsia"/>
          <w:sz w:val="24"/>
          <w:szCs w:val="24"/>
        </w:rPr>
        <w:t xml:space="preserve"> quite light sensitive so be careful on those steps. Also, during the spectrophotometer measurement step, keep the samples at dark and take them out one by one.</w:t>
      </w:r>
    </w:p>
    <w:p w14:paraId="42B32455" w14:textId="64CB952F" w:rsidR="00D5673C" w:rsidRDefault="00232B99" w:rsidP="00617663">
      <w:pPr>
        <w:jc w:val="both"/>
        <w:rPr>
          <w:rFonts w:eastAsiaTheme="minorEastAsia"/>
          <w:sz w:val="24"/>
          <w:szCs w:val="24"/>
        </w:rPr>
      </w:pPr>
      <w:r w:rsidRPr="00232B99">
        <w:rPr>
          <w:rFonts w:eastAsiaTheme="minorEastAsia"/>
          <w:b/>
          <w:bCs/>
          <w:sz w:val="24"/>
          <w:szCs w:val="24"/>
          <w:u w:val="single"/>
        </w:rPr>
        <w:t xml:space="preserve">Note: </w:t>
      </w:r>
      <w:r w:rsidR="00D5673C">
        <w:rPr>
          <w:sz w:val="24"/>
          <w:szCs w:val="24"/>
        </w:rPr>
        <w:t xml:space="preserve">The unit of the calculation of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562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 / 28.6</m:t>
            </m:r>
          </m:e>
        </m:d>
      </m:oMath>
      <w:r w:rsidR="00D5673C">
        <w:rPr>
          <w:rFonts w:eastAsiaTheme="minorEastAsia"/>
          <w:sz w:val="24"/>
          <w:szCs w:val="24"/>
        </w:rPr>
        <w:t xml:space="preserve"> is </w:t>
      </w:r>
      <w:r w:rsidR="00D5673C">
        <w:rPr>
          <w:rFonts w:eastAsiaTheme="minorEastAsia" w:cstheme="minorHAnsi"/>
          <w:sz w:val="24"/>
          <w:szCs w:val="24"/>
        </w:rPr>
        <w:t>m</w:t>
      </w:r>
      <w:r w:rsidR="00D5673C">
        <w:rPr>
          <w:rFonts w:eastAsiaTheme="minorEastAsia"/>
          <w:sz w:val="24"/>
          <w:szCs w:val="24"/>
        </w:rPr>
        <w:t>M/ml. When multipl</w:t>
      </w:r>
      <w:r w:rsidR="00DD3346">
        <w:rPr>
          <w:rFonts w:eastAsiaTheme="minorEastAsia"/>
          <w:sz w:val="24"/>
          <w:szCs w:val="24"/>
        </w:rPr>
        <w:t>ied</w:t>
      </w:r>
      <w:r w:rsidR="00D5673C">
        <w:rPr>
          <w:rFonts w:eastAsiaTheme="minorEastAsia"/>
          <w:sz w:val="24"/>
          <w:szCs w:val="24"/>
        </w:rPr>
        <w:t xml:space="preserve"> by “V”, it becomes </w:t>
      </w:r>
      <w:proofErr w:type="spellStart"/>
      <w:r w:rsidR="00D5673C">
        <w:rPr>
          <w:rFonts w:eastAsiaTheme="minorEastAsia" w:cstheme="minorHAnsi"/>
          <w:sz w:val="24"/>
          <w:szCs w:val="24"/>
        </w:rPr>
        <w:t>mM</w:t>
      </w:r>
      <w:r w:rsidR="00D5673C">
        <w:rPr>
          <w:rFonts w:eastAsiaTheme="minorEastAsia"/>
          <w:sz w:val="24"/>
          <w:szCs w:val="24"/>
        </w:rPr>
        <w:t>.</w:t>
      </w:r>
      <w:proofErr w:type="spellEnd"/>
      <w:r w:rsidR="00D5673C">
        <w:rPr>
          <w:rFonts w:eastAsiaTheme="minorEastAsia"/>
          <w:sz w:val="24"/>
          <w:szCs w:val="24"/>
        </w:rPr>
        <w:t xml:space="preserve"> When multipl</w:t>
      </w:r>
      <w:r w:rsidR="00DD3346">
        <w:rPr>
          <w:rFonts w:eastAsiaTheme="minorEastAsia"/>
          <w:sz w:val="24"/>
          <w:szCs w:val="24"/>
        </w:rPr>
        <w:t>ied</w:t>
      </w:r>
      <w:r w:rsidR="00D5673C">
        <w:rPr>
          <w:rFonts w:eastAsiaTheme="minorEastAsia"/>
          <w:sz w:val="24"/>
          <w:szCs w:val="24"/>
        </w:rPr>
        <w:t xml:space="preserve"> by 1000, it becomes </w:t>
      </w:r>
      <w:r w:rsidR="00D5673C">
        <w:rPr>
          <w:rFonts w:eastAsiaTheme="minorEastAsia" w:cstheme="minorHAnsi"/>
          <w:sz w:val="24"/>
          <w:szCs w:val="24"/>
        </w:rPr>
        <w:t>µM</w:t>
      </w:r>
      <w:r w:rsidR="00D5673C">
        <w:rPr>
          <w:rFonts w:eastAsiaTheme="minorEastAsia"/>
          <w:sz w:val="24"/>
          <w:szCs w:val="24"/>
        </w:rPr>
        <w:t>. When divide</w:t>
      </w:r>
      <w:r w:rsidR="00DD3346">
        <w:rPr>
          <w:rFonts w:eastAsiaTheme="minorEastAsia"/>
          <w:sz w:val="24"/>
          <w:szCs w:val="24"/>
        </w:rPr>
        <w:t>d</w:t>
      </w:r>
      <w:r w:rsidR="00D5673C">
        <w:rPr>
          <w:rFonts w:eastAsiaTheme="minorEastAsia"/>
          <w:sz w:val="24"/>
          <w:szCs w:val="24"/>
        </w:rPr>
        <w:t xml:space="preserve"> by “FW”, it becomes </w:t>
      </w:r>
      <w:r w:rsidR="00D5673C">
        <w:rPr>
          <w:rFonts w:eastAsiaTheme="minorEastAsia" w:cstheme="minorHAnsi"/>
          <w:sz w:val="24"/>
          <w:szCs w:val="24"/>
        </w:rPr>
        <w:t>µ</w:t>
      </w:r>
      <w:r w:rsidR="00D5673C">
        <w:rPr>
          <w:rFonts w:eastAsiaTheme="minorEastAsia"/>
          <w:sz w:val="24"/>
          <w:szCs w:val="24"/>
        </w:rPr>
        <w:t>M/g root FW. When divide</w:t>
      </w:r>
      <w:r w:rsidR="00DD3346">
        <w:rPr>
          <w:rFonts w:eastAsiaTheme="minorEastAsia"/>
          <w:sz w:val="24"/>
          <w:szCs w:val="24"/>
        </w:rPr>
        <w:t>d</w:t>
      </w:r>
      <w:r w:rsidR="00D5673C">
        <w:rPr>
          <w:rFonts w:eastAsiaTheme="minorEastAsia"/>
          <w:sz w:val="24"/>
          <w:szCs w:val="24"/>
        </w:rPr>
        <w:t xml:space="preserve"> by “T”, it becomes </w:t>
      </w:r>
      <w:r w:rsidR="00D5673C">
        <w:rPr>
          <w:rFonts w:eastAsiaTheme="minorEastAsia" w:cstheme="minorHAnsi"/>
          <w:sz w:val="24"/>
          <w:szCs w:val="24"/>
        </w:rPr>
        <w:t>µ</w:t>
      </w:r>
      <w:r w:rsidR="00D5673C">
        <w:rPr>
          <w:rFonts w:eastAsiaTheme="minorEastAsia"/>
          <w:sz w:val="24"/>
          <w:szCs w:val="24"/>
        </w:rPr>
        <w:t>M/g root FW/hr.</w:t>
      </w:r>
    </w:p>
    <w:p w14:paraId="052D04DC" w14:textId="77777777" w:rsidR="00232B99" w:rsidRPr="00232B99" w:rsidRDefault="00232B99" w:rsidP="00617663">
      <w:pPr>
        <w:jc w:val="both"/>
        <w:rPr>
          <w:rFonts w:eastAsiaTheme="minorEastAsia"/>
          <w:sz w:val="24"/>
          <w:szCs w:val="24"/>
        </w:rPr>
      </w:pPr>
      <w:r w:rsidRPr="00232B99">
        <w:rPr>
          <w:rFonts w:eastAsiaTheme="minorEastAsia"/>
          <w:b/>
          <w:bCs/>
          <w:sz w:val="24"/>
          <w:szCs w:val="24"/>
          <w:u w:val="single"/>
        </w:rPr>
        <w:t>Note:</w:t>
      </w:r>
      <w:r w:rsidRPr="00232B99">
        <w:rPr>
          <w:rFonts w:eastAsiaTheme="minorEastAsia"/>
          <w:sz w:val="24"/>
          <w:szCs w:val="24"/>
        </w:rPr>
        <w:t xml:space="preserve"> Wait around 20-30 minutes before using the spectrophotometer for the lamps to warm up.</w:t>
      </w:r>
    </w:p>
    <w:p w14:paraId="0E72F4F1" w14:textId="2580B152" w:rsidR="009D6D6D" w:rsidRPr="00D5673C" w:rsidRDefault="00D5673C" w:rsidP="00617663">
      <w:pPr>
        <w:jc w:val="both"/>
      </w:pPr>
      <w:r w:rsidRPr="00232B99">
        <w:rPr>
          <w:rFonts w:eastAsiaTheme="minorEastAsia"/>
          <w:b/>
          <w:bCs/>
          <w:sz w:val="24"/>
          <w:szCs w:val="24"/>
          <w:u w:val="single"/>
        </w:rPr>
        <w:t>Note:</w:t>
      </w:r>
      <w:r>
        <w:rPr>
          <w:rFonts w:eastAsiaTheme="minorEastAsia"/>
          <w:sz w:val="24"/>
          <w:szCs w:val="24"/>
        </w:rPr>
        <w:t xml:space="preserve"> It is possible to decrease the molarity of the assay </w:t>
      </w:r>
      <w:proofErr w:type="gramStart"/>
      <w:r>
        <w:rPr>
          <w:rFonts w:eastAsiaTheme="minorEastAsia"/>
          <w:sz w:val="24"/>
          <w:szCs w:val="24"/>
        </w:rPr>
        <w:t xml:space="preserve">solution, </w:t>
      </w:r>
      <w:r w:rsidR="00DD3346">
        <w:rPr>
          <w:rFonts w:eastAsiaTheme="minorEastAsia"/>
          <w:sz w:val="24"/>
          <w:szCs w:val="24"/>
        </w:rPr>
        <w:t>and</w:t>
      </w:r>
      <w:proofErr w:type="gramEnd"/>
      <w:r w:rsidR="00DD3346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increase incubation time depend</w:t>
      </w:r>
      <w:r w:rsidR="00DD3346">
        <w:rPr>
          <w:rFonts w:eastAsiaTheme="minorEastAsia"/>
          <w:sz w:val="24"/>
          <w:szCs w:val="24"/>
        </w:rPr>
        <w:t>ing</w:t>
      </w:r>
      <w:r>
        <w:rPr>
          <w:rFonts w:eastAsiaTheme="minorEastAsia"/>
          <w:sz w:val="24"/>
          <w:szCs w:val="24"/>
        </w:rPr>
        <w:t xml:space="preserve"> on the conditions.</w:t>
      </w:r>
    </w:p>
    <w:p w14:paraId="69DBE1C2" w14:textId="77777777" w:rsidR="00D5673C" w:rsidRDefault="00D5673C" w:rsidP="009D6D6D">
      <w:pPr>
        <w:ind w:left="360"/>
      </w:pPr>
    </w:p>
    <w:p w14:paraId="7DC2A2C2" w14:textId="4B2F7323" w:rsidR="00D74C1A" w:rsidRPr="00D5673C" w:rsidRDefault="00D5673C" w:rsidP="00D5673C">
      <w:pPr>
        <w:rPr>
          <w:sz w:val="24"/>
          <w:szCs w:val="24"/>
        </w:rPr>
      </w:pPr>
      <w:r w:rsidRPr="00D5673C">
        <w:rPr>
          <w:sz w:val="24"/>
          <w:szCs w:val="24"/>
        </w:rPr>
        <w:t xml:space="preserve">Reference: </w:t>
      </w:r>
    </w:p>
    <w:p w14:paraId="7660E88B" w14:textId="4FD95BFD" w:rsidR="00D5673C" w:rsidRDefault="00D5673C" w:rsidP="00D5673C">
      <w:pPr>
        <w:jc w:val="both"/>
        <w:rPr>
          <w:sz w:val="24"/>
          <w:szCs w:val="24"/>
        </w:rPr>
      </w:pPr>
      <w:r w:rsidRPr="00D5673C">
        <w:rPr>
          <w:rFonts w:hint="eastAsia"/>
          <w:sz w:val="24"/>
          <w:szCs w:val="24"/>
        </w:rPr>
        <w:t xml:space="preserve">Aksoy, E. and </w:t>
      </w:r>
      <w:proofErr w:type="spellStart"/>
      <w:r w:rsidRPr="00D5673C">
        <w:rPr>
          <w:rFonts w:hint="eastAsia"/>
          <w:sz w:val="24"/>
          <w:szCs w:val="24"/>
        </w:rPr>
        <w:t>Koiwa</w:t>
      </w:r>
      <w:proofErr w:type="spellEnd"/>
      <w:r w:rsidRPr="00D5673C">
        <w:rPr>
          <w:rFonts w:hint="eastAsia"/>
          <w:sz w:val="24"/>
          <w:szCs w:val="24"/>
        </w:rPr>
        <w:t>, H. (2013). Determination of Ferric Chelate Reductase Activity in the Arabidopsis thaliana Root. Bio-protocol 3(15): e843. DOI: </w:t>
      </w:r>
      <w:hyperlink r:id="rId6" w:history="1">
        <w:r w:rsidRPr="00D5673C">
          <w:rPr>
            <w:rStyle w:val="Hyperlink"/>
            <w:rFonts w:hint="eastAsia"/>
            <w:sz w:val="24"/>
            <w:szCs w:val="24"/>
          </w:rPr>
          <w:t>10.21769/BioProtoc.843</w:t>
        </w:r>
      </w:hyperlink>
      <w:r w:rsidRPr="00D5673C">
        <w:rPr>
          <w:rFonts w:hint="eastAsia"/>
          <w:sz w:val="24"/>
          <w:szCs w:val="24"/>
        </w:rPr>
        <w:t>.</w:t>
      </w:r>
    </w:p>
    <w:p w14:paraId="60AAE2DB" w14:textId="2EB21791" w:rsidR="00617663" w:rsidRPr="00617663" w:rsidRDefault="00617663" w:rsidP="00617663">
      <w:pPr>
        <w:pStyle w:val="Heading2"/>
        <w:numPr>
          <w:ilvl w:val="0"/>
          <w:numId w:val="6"/>
        </w:numPr>
        <w:rPr>
          <w:u w:val="single"/>
        </w:rPr>
      </w:pPr>
      <w:r w:rsidRPr="00617663">
        <w:rPr>
          <w:u w:val="single"/>
        </w:rPr>
        <w:t>Root Growth Measurement</w:t>
      </w:r>
      <w:r>
        <w:rPr>
          <w:u w:val="single"/>
        </w:rPr>
        <w:t>:</w:t>
      </w:r>
    </w:p>
    <w:p w14:paraId="32B2DC26" w14:textId="31C29791" w:rsidR="00617663" w:rsidRDefault="00617663" w:rsidP="00D567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steps can be changed due to </w:t>
      </w:r>
      <w:r w:rsidR="00DD3346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purpose of the experiment. Here, it is an example </w:t>
      </w:r>
      <w:r w:rsidR="00DD3346">
        <w:rPr>
          <w:sz w:val="24"/>
          <w:szCs w:val="24"/>
        </w:rPr>
        <w:t>of</w:t>
      </w:r>
      <w:r>
        <w:rPr>
          <w:sz w:val="24"/>
          <w:szCs w:val="24"/>
        </w:rPr>
        <w:t xml:space="preserve"> 4 days of control + 7 days of stress application experiments.</w:t>
      </w:r>
    </w:p>
    <w:p w14:paraId="179FE53E" w14:textId="113D615B" w:rsidR="00617663" w:rsidRPr="00617663" w:rsidRDefault="00617663" w:rsidP="00617663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617663">
        <w:rPr>
          <w:sz w:val="24"/>
          <w:szCs w:val="24"/>
        </w:rPr>
        <w:t xml:space="preserve">After the seeds were grown </w:t>
      </w:r>
      <w:r w:rsidR="00DD3346">
        <w:rPr>
          <w:sz w:val="24"/>
          <w:szCs w:val="24"/>
        </w:rPr>
        <w:t xml:space="preserve">for </w:t>
      </w:r>
      <w:r w:rsidRPr="00617663">
        <w:rPr>
          <w:sz w:val="24"/>
          <w:szCs w:val="24"/>
        </w:rPr>
        <w:t>4 days in control conditions, transfer the plants to stress condition and mark the tip of the roots on the surface of the plate</w:t>
      </w:r>
      <w:r w:rsidR="00C72FED">
        <w:rPr>
          <w:sz w:val="24"/>
          <w:szCs w:val="24"/>
        </w:rPr>
        <w:t>, it can be noted as Day0.</w:t>
      </w:r>
    </w:p>
    <w:p w14:paraId="07940541" w14:textId="17E5622F" w:rsidR="00617663" w:rsidRDefault="00617663" w:rsidP="00617663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617663">
        <w:rPr>
          <w:sz w:val="24"/>
          <w:szCs w:val="24"/>
        </w:rPr>
        <w:t xml:space="preserve">After 7 days of stress application, a plate in </w:t>
      </w:r>
      <w:r w:rsidR="00DD3346">
        <w:rPr>
          <w:sz w:val="24"/>
          <w:szCs w:val="24"/>
        </w:rPr>
        <w:t xml:space="preserve">the </w:t>
      </w:r>
      <w:r w:rsidRPr="00617663">
        <w:rPr>
          <w:sz w:val="24"/>
          <w:szCs w:val="24"/>
        </w:rPr>
        <w:t>figure below will be obtained. Photograph or scan the plate as it can be seen in the figure, with a ruler beside</w:t>
      </w:r>
      <w:r w:rsidR="00DD3346">
        <w:rPr>
          <w:sz w:val="24"/>
          <w:szCs w:val="24"/>
        </w:rPr>
        <w:t xml:space="preserve"> it</w:t>
      </w:r>
      <w:r w:rsidRPr="00617663">
        <w:rPr>
          <w:sz w:val="24"/>
          <w:szCs w:val="24"/>
        </w:rPr>
        <w:t>.</w:t>
      </w:r>
    </w:p>
    <w:p w14:paraId="564DF6D5" w14:textId="7916B725" w:rsidR="00C72FED" w:rsidRDefault="00B85074" w:rsidP="00C72FED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CE0D370" wp14:editId="2CEA2BA2">
            <wp:simplePos x="0" y="0"/>
            <wp:positionH relativeFrom="column">
              <wp:posOffset>3203575</wp:posOffset>
            </wp:positionH>
            <wp:positionV relativeFrom="paragraph">
              <wp:posOffset>170815</wp:posOffset>
            </wp:positionV>
            <wp:extent cx="2663190" cy="847725"/>
            <wp:effectExtent l="19050" t="19050" r="22860" b="28575"/>
            <wp:wrapSquare wrapText="bothSides"/>
            <wp:docPr id="2" name="Picture 2" descr="Graphical user interface, text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Wo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190" cy="8477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FED">
        <w:rPr>
          <w:sz w:val="24"/>
          <w:szCs w:val="24"/>
        </w:rPr>
        <w:t>Run the ImageJ tool:</w:t>
      </w:r>
    </w:p>
    <w:p w14:paraId="508F3BE4" w14:textId="668AE241" w:rsidR="00C72FED" w:rsidRDefault="00C72FED" w:rsidP="00C72FED">
      <w:pPr>
        <w:pStyle w:val="ListParagraph"/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Go to “File” and click open “</w:t>
      </w:r>
      <w:r w:rsidRPr="00C72FED">
        <w:rPr>
          <w:sz w:val="24"/>
          <w:szCs w:val="24"/>
        </w:rPr>
        <w:t>Open</w:t>
      </w:r>
      <w:r>
        <w:rPr>
          <w:sz w:val="24"/>
          <w:szCs w:val="24"/>
        </w:rPr>
        <w:t>…”</w:t>
      </w:r>
      <w:r w:rsidRPr="00C72FED">
        <w:rPr>
          <w:sz w:val="24"/>
          <w:szCs w:val="24"/>
        </w:rPr>
        <w:t xml:space="preserve"> (</w:t>
      </w:r>
      <w:proofErr w:type="spellStart"/>
      <w:r w:rsidRPr="00C72FED">
        <w:rPr>
          <w:sz w:val="24"/>
          <w:szCs w:val="24"/>
        </w:rPr>
        <w:t>Ctrl+O</w:t>
      </w:r>
      <w:proofErr w:type="spellEnd"/>
      <w:r w:rsidRPr="00C72FED">
        <w:rPr>
          <w:sz w:val="24"/>
          <w:szCs w:val="24"/>
        </w:rPr>
        <w:t>)</w:t>
      </w:r>
      <w:r>
        <w:rPr>
          <w:sz w:val="24"/>
          <w:szCs w:val="24"/>
        </w:rPr>
        <w:t xml:space="preserve"> the file.</w:t>
      </w:r>
    </w:p>
    <w:p w14:paraId="5F46CBB8" w14:textId="445D27D9" w:rsidR="00C72FED" w:rsidRDefault="00C72FED" w:rsidP="00C72FED">
      <w:pPr>
        <w:pStyle w:val="ListParagraph"/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Select the “Straight Line” and draw a 2 cm line on the ruler in the file.</w:t>
      </w:r>
    </w:p>
    <w:p w14:paraId="0F053C14" w14:textId="44CE8FD1" w:rsidR="00C72FED" w:rsidRDefault="00C72FED" w:rsidP="00C72FED">
      <w:pPr>
        <w:pStyle w:val="ListParagraph"/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Go to “Analyze”, and click “Set scale…”</w:t>
      </w:r>
    </w:p>
    <w:p w14:paraId="4370128D" w14:textId="191B74BA" w:rsidR="00C72FED" w:rsidRDefault="00C72FED" w:rsidP="00C72FED">
      <w:pPr>
        <w:pStyle w:val="ListParagraph"/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Change the “Known distance” </w:t>
      </w:r>
      <w:r w:rsidR="00DD3346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="00EC05D0">
        <w:rPr>
          <w:sz w:val="24"/>
          <w:szCs w:val="24"/>
        </w:rPr>
        <w:t>2.0 and</w:t>
      </w:r>
      <w:r>
        <w:rPr>
          <w:sz w:val="24"/>
          <w:szCs w:val="24"/>
        </w:rPr>
        <w:t xml:space="preserve"> click OK.</w:t>
      </w:r>
    </w:p>
    <w:p w14:paraId="2C012A7E" w14:textId="06F6155A" w:rsidR="00C72FED" w:rsidRDefault="00C72FED" w:rsidP="00C72FED">
      <w:pPr>
        <w:pStyle w:val="ListParagraph"/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Select the “Segmented Line”. </w:t>
      </w:r>
    </w:p>
    <w:p w14:paraId="299DD18C" w14:textId="61279DD1" w:rsidR="00C72FED" w:rsidRDefault="00C72FED" w:rsidP="00C72FED">
      <w:pPr>
        <w:pStyle w:val="ListParagraph"/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Start from the marks of </w:t>
      </w:r>
      <w:proofErr w:type="gramStart"/>
      <w:r>
        <w:rPr>
          <w:sz w:val="24"/>
          <w:szCs w:val="24"/>
        </w:rPr>
        <w:t xml:space="preserve">Day0, </w:t>
      </w:r>
      <w:r w:rsidR="00DD3346">
        <w:rPr>
          <w:sz w:val="24"/>
          <w:szCs w:val="24"/>
        </w:rPr>
        <w:t>and</w:t>
      </w:r>
      <w:proofErr w:type="gramEnd"/>
      <w:r w:rsidR="00DD3346">
        <w:rPr>
          <w:sz w:val="24"/>
          <w:szCs w:val="24"/>
        </w:rPr>
        <w:t xml:space="preserve"> </w:t>
      </w:r>
      <w:r>
        <w:rPr>
          <w:sz w:val="24"/>
          <w:szCs w:val="24"/>
        </w:rPr>
        <w:t>draw the line by clicking on the root till the root tip. Right</w:t>
      </w:r>
      <w:r w:rsidR="00DD3346">
        <w:rPr>
          <w:sz w:val="24"/>
          <w:szCs w:val="24"/>
        </w:rPr>
        <w:t>-</w:t>
      </w:r>
      <w:r>
        <w:rPr>
          <w:sz w:val="24"/>
          <w:szCs w:val="24"/>
        </w:rPr>
        <w:t xml:space="preserve">click </w:t>
      </w:r>
      <w:r w:rsidR="00DD3346">
        <w:rPr>
          <w:sz w:val="24"/>
          <w:szCs w:val="24"/>
        </w:rPr>
        <w:t xml:space="preserve">on </w:t>
      </w:r>
      <w:r w:rsidR="00EC05D0">
        <w:rPr>
          <w:sz w:val="24"/>
          <w:szCs w:val="24"/>
        </w:rPr>
        <w:t xml:space="preserve">to root tip </w:t>
      </w:r>
      <w:r w:rsidR="00DD3346">
        <w:rPr>
          <w:sz w:val="24"/>
          <w:szCs w:val="24"/>
        </w:rPr>
        <w:t xml:space="preserve">to </w:t>
      </w:r>
      <w:r w:rsidR="00EC05D0">
        <w:rPr>
          <w:sz w:val="24"/>
          <w:szCs w:val="24"/>
        </w:rPr>
        <w:t xml:space="preserve">finish </w:t>
      </w:r>
      <w:r w:rsidR="00DD3346">
        <w:rPr>
          <w:sz w:val="24"/>
          <w:szCs w:val="24"/>
        </w:rPr>
        <w:t xml:space="preserve">the </w:t>
      </w:r>
      <w:r w:rsidR="00EC05D0">
        <w:rPr>
          <w:sz w:val="24"/>
          <w:szCs w:val="24"/>
        </w:rPr>
        <w:t>drawing.</w:t>
      </w:r>
    </w:p>
    <w:p w14:paraId="30E042DD" w14:textId="5410E9EB" w:rsidR="00EC05D0" w:rsidRDefault="00EC05D0" w:rsidP="00C72FED">
      <w:pPr>
        <w:pStyle w:val="ListParagraph"/>
        <w:numPr>
          <w:ilvl w:val="1"/>
          <w:numId w:val="9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Ctrl+M</w:t>
      </w:r>
      <w:proofErr w:type="spellEnd"/>
      <w:r>
        <w:rPr>
          <w:sz w:val="24"/>
          <w:szCs w:val="24"/>
        </w:rPr>
        <w:t xml:space="preserve"> to record the length.</w:t>
      </w:r>
    </w:p>
    <w:p w14:paraId="27EACCD7" w14:textId="47DE3477" w:rsidR="00EC05D0" w:rsidRDefault="00EC05D0" w:rsidP="00C72FED">
      <w:pPr>
        <w:pStyle w:val="ListParagraph"/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Repeat steps f and g for all the samples.</w:t>
      </w:r>
    </w:p>
    <w:p w14:paraId="59082418" w14:textId="2E989DD3" w:rsidR="00EC05D0" w:rsidRDefault="00EC05D0" w:rsidP="00C72FED">
      <w:pPr>
        <w:pStyle w:val="ListParagraph"/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Copy the results from the “Results” page.</w:t>
      </w:r>
    </w:p>
    <w:p w14:paraId="670A2B14" w14:textId="7FD6EB79" w:rsidR="00617663" w:rsidRDefault="00617663" w:rsidP="00C72FE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6F287AF" wp14:editId="5F97908C">
            <wp:extent cx="3710940" cy="2959367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395" r="44252" b="32288"/>
                    <a:stretch/>
                  </pic:blipFill>
                  <pic:spPr bwMode="auto">
                    <a:xfrm>
                      <a:off x="0" y="0"/>
                      <a:ext cx="3714019" cy="296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2717ED" w14:textId="6576B17A" w:rsidR="00C72FED" w:rsidRPr="00B85074" w:rsidRDefault="00B85074" w:rsidP="00D5673C">
      <w:pPr>
        <w:jc w:val="both"/>
        <w:rPr>
          <w:sz w:val="24"/>
          <w:szCs w:val="24"/>
        </w:rPr>
      </w:pPr>
      <w:r w:rsidRPr="00B85074">
        <w:rPr>
          <w:b/>
          <w:bCs/>
          <w:sz w:val="24"/>
          <w:szCs w:val="24"/>
          <w:u w:val="single"/>
        </w:rPr>
        <w:t>Note:</w:t>
      </w:r>
      <w:r w:rsidRPr="00B850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If you need to mark the root tip day by day and measure all of them: in step f, start with left click to draw </w:t>
      </w:r>
      <w:r w:rsidR="00DD3346">
        <w:rPr>
          <w:sz w:val="24"/>
          <w:szCs w:val="24"/>
        </w:rPr>
        <w:t xml:space="preserve">the </w:t>
      </w:r>
      <w:r>
        <w:rPr>
          <w:sz w:val="24"/>
          <w:szCs w:val="24"/>
        </w:rPr>
        <w:t>line, on every spot you want to measure use left click instead of right</w:t>
      </w:r>
      <w:r w:rsidR="00DD3346">
        <w:rPr>
          <w:sz w:val="24"/>
          <w:szCs w:val="24"/>
        </w:rPr>
        <w:t>-</w:t>
      </w:r>
      <w:r>
        <w:rPr>
          <w:sz w:val="24"/>
          <w:szCs w:val="24"/>
        </w:rPr>
        <w:t xml:space="preserve">click and </w:t>
      </w:r>
      <w:proofErr w:type="spellStart"/>
      <w:r>
        <w:rPr>
          <w:sz w:val="24"/>
          <w:szCs w:val="24"/>
        </w:rPr>
        <w:t>Ctrl+M</w:t>
      </w:r>
      <w:proofErr w:type="spellEnd"/>
      <w:r>
        <w:rPr>
          <w:sz w:val="24"/>
          <w:szCs w:val="24"/>
        </w:rPr>
        <w:t xml:space="preserve"> instantly without moving the cursor. Then continue to </w:t>
      </w:r>
      <w:r w:rsidR="00DD3346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next spot with </w:t>
      </w:r>
      <w:r w:rsidR="00DD3346">
        <w:rPr>
          <w:sz w:val="24"/>
          <w:szCs w:val="24"/>
        </w:rPr>
        <w:t xml:space="preserve">a </w:t>
      </w:r>
      <w:r>
        <w:rPr>
          <w:sz w:val="24"/>
          <w:szCs w:val="24"/>
        </w:rPr>
        <w:t>left</w:t>
      </w:r>
      <w:r w:rsidR="00DD3346">
        <w:rPr>
          <w:sz w:val="24"/>
          <w:szCs w:val="24"/>
        </w:rPr>
        <w:t>-</w:t>
      </w:r>
      <w:r>
        <w:rPr>
          <w:sz w:val="24"/>
          <w:szCs w:val="24"/>
        </w:rPr>
        <w:t>click and repeat them for the rest. For the last one, right</w:t>
      </w:r>
      <w:r w:rsidR="00DD3346">
        <w:rPr>
          <w:sz w:val="24"/>
          <w:szCs w:val="24"/>
        </w:rPr>
        <w:t>-</w:t>
      </w:r>
      <w:r>
        <w:rPr>
          <w:sz w:val="24"/>
          <w:szCs w:val="24"/>
        </w:rPr>
        <w:t>click to finish the drawing.</w:t>
      </w:r>
    </w:p>
    <w:sectPr w:rsidR="00C72FED" w:rsidRPr="00B85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72D97"/>
    <w:multiLevelType w:val="hybridMultilevel"/>
    <w:tmpl w:val="5BAEB5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950E4"/>
    <w:multiLevelType w:val="hybridMultilevel"/>
    <w:tmpl w:val="EDEADE0E"/>
    <w:lvl w:ilvl="0" w:tplc="817E4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61255"/>
    <w:multiLevelType w:val="hybridMultilevel"/>
    <w:tmpl w:val="0816AD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24960"/>
    <w:multiLevelType w:val="hybridMultilevel"/>
    <w:tmpl w:val="632ADD6C"/>
    <w:lvl w:ilvl="0" w:tplc="817E4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F75AE"/>
    <w:multiLevelType w:val="hybridMultilevel"/>
    <w:tmpl w:val="DBC8253E"/>
    <w:lvl w:ilvl="0" w:tplc="817E4A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1B15CA"/>
    <w:multiLevelType w:val="hybridMultilevel"/>
    <w:tmpl w:val="2BEA01D6"/>
    <w:lvl w:ilvl="0" w:tplc="6D1AF2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C209E"/>
    <w:multiLevelType w:val="hybridMultilevel"/>
    <w:tmpl w:val="4DA055B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E93FBF"/>
    <w:multiLevelType w:val="hybridMultilevel"/>
    <w:tmpl w:val="A432B79A"/>
    <w:lvl w:ilvl="0" w:tplc="C2E8F98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E46BD7"/>
    <w:multiLevelType w:val="hybridMultilevel"/>
    <w:tmpl w:val="9FB431A2"/>
    <w:lvl w:ilvl="0" w:tplc="E56C0148">
      <w:start w:val="1"/>
      <w:numFmt w:val="upperLetter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8976736">
    <w:abstractNumId w:val="0"/>
  </w:num>
  <w:num w:numId="2" w16cid:durableId="1440829098">
    <w:abstractNumId w:val="3"/>
  </w:num>
  <w:num w:numId="3" w16cid:durableId="427241726">
    <w:abstractNumId w:val="4"/>
  </w:num>
  <w:num w:numId="4" w16cid:durableId="2101679642">
    <w:abstractNumId w:val="1"/>
  </w:num>
  <w:num w:numId="5" w16cid:durableId="540632946">
    <w:abstractNumId w:val="5"/>
  </w:num>
  <w:num w:numId="6" w16cid:durableId="178663002">
    <w:abstractNumId w:val="8"/>
  </w:num>
  <w:num w:numId="7" w16cid:durableId="1970890648">
    <w:abstractNumId w:val="2"/>
  </w:num>
  <w:num w:numId="8" w16cid:durableId="154340019">
    <w:abstractNumId w:val="6"/>
  </w:num>
  <w:num w:numId="9" w16cid:durableId="9484371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EwtjQzNDE0MDAwszRV0lEKTi0uzszPAykwqgUAPz55qiwAAAA="/>
  </w:docVars>
  <w:rsids>
    <w:rsidRoot w:val="00077E2B"/>
    <w:rsid w:val="00077E2B"/>
    <w:rsid w:val="000A635D"/>
    <w:rsid w:val="000A779D"/>
    <w:rsid w:val="001437C3"/>
    <w:rsid w:val="002303EC"/>
    <w:rsid w:val="00232B99"/>
    <w:rsid w:val="00301228"/>
    <w:rsid w:val="004E4FB9"/>
    <w:rsid w:val="005A525B"/>
    <w:rsid w:val="00617663"/>
    <w:rsid w:val="00747DA0"/>
    <w:rsid w:val="00803FA7"/>
    <w:rsid w:val="009554EC"/>
    <w:rsid w:val="00995D08"/>
    <w:rsid w:val="009D6D6D"/>
    <w:rsid w:val="00B85074"/>
    <w:rsid w:val="00C72FED"/>
    <w:rsid w:val="00CA4225"/>
    <w:rsid w:val="00D5673C"/>
    <w:rsid w:val="00D74C1A"/>
    <w:rsid w:val="00DD3346"/>
    <w:rsid w:val="00EC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6311"/>
  <w15:chartTrackingRefBased/>
  <w15:docId w15:val="{E05A4A9C-EE91-47C7-8936-D06B74CF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52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E2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E4FB9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5A525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D74C1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567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21769/BioProtoc.843" TargetMode="External"/><Relationship Id="rId5" Type="http://schemas.openxmlformats.org/officeDocument/2006/relationships/hyperlink" Target="http://dx.doi.org/10.21769/BioProtoc.8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Utku Deniz</dc:creator>
  <cp:keywords/>
  <dc:description/>
  <cp:lastModifiedBy>Utku Deniz</cp:lastModifiedBy>
  <cp:revision>5</cp:revision>
  <dcterms:created xsi:type="dcterms:W3CDTF">2023-03-23T10:06:00Z</dcterms:created>
  <dcterms:modified xsi:type="dcterms:W3CDTF">2023-03-23T12:46:00Z</dcterms:modified>
</cp:coreProperties>
</file>